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5" w:rsidRPr="00B53758" w:rsidRDefault="005859A5" w:rsidP="005859A5">
      <w:pPr>
        <w:jc w:val="center"/>
        <w:rPr>
          <w:b/>
          <w:sz w:val="24"/>
          <w:szCs w:val="24"/>
        </w:rPr>
      </w:pPr>
      <w:r w:rsidRPr="00B53758">
        <w:rPr>
          <w:b/>
          <w:sz w:val="24"/>
          <w:szCs w:val="24"/>
        </w:rPr>
        <w:t>Coastline Community College</w:t>
      </w:r>
    </w:p>
    <w:p w:rsidR="005859A5" w:rsidRPr="00B53758" w:rsidRDefault="005859A5" w:rsidP="005859A5">
      <w:pPr>
        <w:jc w:val="center"/>
        <w:rPr>
          <w:b/>
          <w:sz w:val="24"/>
          <w:szCs w:val="24"/>
        </w:rPr>
      </w:pPr>
      <w:r w:rsidRPr="00B53758">
        <w:rPr>
          <w:b/>
          <w:sz w:val="24"/>
          <w:szCs w:val="24"/>
        </w:rPr>
        <w:t>Distance Learning/Technology Committee</w:t>
      </w:r>
    </w:p>
    <w:p w:rsidR="005859A5" w:rsidRPr="00B53758" w:rsidRDefault="005859A5" w:rsidP="005859A5">
      <w:pPr>
        <w:jc w:val="center"/>
        <w:rPr>
          <w:b/>
          <w:sz w:val="24"/>
          <w:szCs w:val="24"/>
        </w:rPr>
      </w:pPr>
      <w:r w:rsidRPr="00B53758">
        <w:rPr>
          <w:b/>
          <w:sz w:val="24"/>
          <w:szCs w:val="24"/>
        </w:rPr>
        <w:t xml:space="preserve">Thursday, </w:t>
      </w:r>
      <w:r>
        <w:rPr>
          <w:b/>
          <w:sz w:val="24"/>
          <w:szCs w:val="24"/>
        </w:rPr>
        <w:t>March 15</w:t>
      </w:r>
      <w:r w:rsidRPr="00B53758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2</w:t>
      </w:r>
    </w:p>
    <w:p w:rsidR="005859A5" w:rsidRPr="00B53758" w:rsidRDefault="005859A5" w:rsidP="005859A5">
      <w:pPr>
        <w:jc w:val="center"/>
        <w:rPr>
          <w:b/>
          <w:sz w:val="24"/>
          <w:szCs w:val="24"/>
        </w:rPr>
      </w:pPr>
      <w:r w:rsidRPr="00B53758">
        <w:rPr>
          <w:b/>
          <w:sz w:val="24"/>
          <w:szCs w:val="24"/>
        </w:rPr>
        <w:t xml:space="preserve">College Center – 4th Floor </w:t>
      </w:r>
    </w:p>
    <w:p w:rsidR="005859A5" w:rsidRPr="00B53758" w:rsidRDefault="005859A5" w:rsidP="005859A5">
      <w:pPr>
        <w:jc w:val="center"/>
        <w:rPr>
          <w:b/>
          <w:sz w:val="24"/>
          <w:szCs w:val="24"/>
        </w:rPr>
      </w:pPr>
      <w:r w:rsidRPr="00B53758">
        <w:rPr>
          <w:b/>
          <w:sz w:val="24"/>
          <w:szCs w:val="24"/>
        </w:rPr>
        <w:t xml:space="preserve">3:00 pm – </w:t>
      </w:r>
      <w:r>
        <w:rPr>
          <w:b/>
          <w:sz w:val="24"/>
          <w:szCs w:val="24"/>
        </w:rPr>
        <w:t>4</w:t>
      </w:r>
      <w:r w:rsidRPr="00B53758">
        <w:rPr>
          <w:b/>
          <w:sz w:val="24"/>
          <w:szCs w:val="24"/>
        </w:rPr>
        <w:t xml:space="preserve">:00 pm </w:t>
      </w:r>
    </w:p>
    <w:tbl>
      <w:tblPr>
        <w:tblpPr w:leftFromText="180" w:rightFromText="180" w:vertAnchor="page" w:horzAnchor="margin" w:tblpY="4216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2880"/>
        <w:gridCol w:w="540"/>
        <w:gridCol w:w="2430"/>
        <w:gridCol w:w="450"/>
        <w:gridCol w:w="2592"/>
      </w:tblGrid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Times New Roman" w:cs="Tahoma"/>
                <w:sz w:val="24"/>
                <w:szCs w:val="24"/>
              </w:rPr>
              <w:t>Gregg Acree (ASG)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sz w:val="24"/>
                <w:szCs w:val="24"/>
              </w:rPr>
              <w:t>Janell Keough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Visitors:</w:t>
            </w:r>
          </w:p>
        </w:tc>
      </w:tr>
      <w:tr w:rsidR="005859A5" w:rsidRPr="00B53758" w:rsidTr="005859A5">
        <w:trPr>
          <w:trHeight w:val="33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Sylvia Amito’elau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sz w:val="24"/>
                <w:szCs w:val="24"/>
              </w:rPr>
              <w:t>Anthony Maciel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Dave Cant</w:t>
            </w: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Times New Roman" w:cs="Tahoma"/>
                <w:sz w:val="24"/>
                <w:szCs w:val="24"/>
              </w:rPr>
              <w:t>Jesus Becerra (ASG)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Helen McClure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Nate Harrison</w:t>
            </w: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Ted Boehler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Bob Nash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Cheryl Chapman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Vince Rodriguez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Jim Miesner</w:t>
            </w: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Bob Covert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Cheryl Stewart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sz w:val="24"/>
                <w:szCs w:val="24"/>
              </w:rPr>
              <w:t>Sheila Kilayko-Cruz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sz w:val="24"/>
                <w:szCs w:val="24"/>
              </w:rPr>
              <w:t>Debe Tetnowski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Tai James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sz w:val="24"/>
                <w:szCs w:val="24"/>
              </w:rPr>
              <w:t>Mark Worden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Dan Johnson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859A5" w:rsidRPr="00B53758" w:rsidTr="005859A5">
        <w:trPr>
          <w:trHeight w:val="28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  <w:r w:rsidRPr="00B53758">
              <w:rPr>
                <w:rFonts w:eastAsia="Calibri" w:cs="Arial"/>
                <w:sz w:val="24"/>
                <w:szCs w:val="24"/>
              </w:rPr>
              <w:t>Dan Jones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A5" w:rsidRPr="00B53758" w:rsidRDefault="005859A5" w:rsidP="005859A5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5859A5" w:rsidRPr="00B53758" w:rsidRDefault="005859A5" w:rsidP="005859A5">
      <w:pPr>
        <w:jc w:val="center"/>
        <w:rPr>
          <w:b/>
          <w:sz w:val="24"/>
          <w:szCs w:val="24"/>
        </w:rPr>
      </w:pPr>
    </w:p>
    <w:p w:rsidR="005859A5" w:rsidRDefault="005859A5" w:rsidP="005859A5">
      <w:r w:rsidRPr="00B53758">
        <w:rPr>
          <w:sz w:val="24"/>
          <w:szCs w:val="24"/>
        </w:rPr>
        <w:t>The Distance</w:t>
      </w:r>
      <w:r w:rsidRPr="00B53758">
        <w:rPr>
          <w:b/>
          <w:sz w:val="24"/>
          <w:szCs w:val="24"/>
        </w:rPr>
        <w:t xml:space="preserve"> </w:t>
      </w:r>
      <w:r w:rsidRPr="00B53758">
        <w:rPr>
          <w:sz w:val="24"/>
          <w:szCs w:val="24"/>
        </w:rPr>
        <w:t>Learning/Technology Committee meeting was called to order at 3:10 p.m. by</w:t>
      </w:r>
      <w:r>
        <w:rPr>
          <w:sz w:val="24"/>
          <w:szCs w:val="24"/>
        </w:rPr>
        <w:t xml:space="preserve"> co-chair</w:t>
      </w:r>
      <w:r w:rsidRPr="00B53758">
        <w:rPr>
          <w:sz w:val="24"/>
          <w:szCs w:val="24"/>
        </w:rPr>
        <w:t xml:space="preserve"> Dan Johnson.</w:t>
      </w:r>
      <w:r>
        <w:rPr>
          <w:sz w:val="24"/>
          <w:szCs w:val="24"/>
        </w:rPr>
        <w:t xml:space="preserve">  </w:t>
      </w:r>
      <w:r w:rsidRPr="00B53758">
        <w:rPr>
          <w:rFonts w:eastAsia="Times New Roman" w:cs="Times New Roman"/>
          <w:sz w:val="24"/>
          <w:szCs w:val="24"/>
        </w:rPr>
        <w:t xml:space="preserve">The minutes from the </w:t>
      </w:r>
      <w:r w:rsidR="00D820F8">
        <w:rPr>
          <w:rFonts w:eastAsia="Times New Roman" w:cs="Times New Roman"/>
          <w:sz w:val="24"/>
          <w:szCs w:val="24"/>
        </w:rPr>
        <w:t>February</w:t>
      </w:r>
      <w:r>
        <w:rPr>
          <w:rFonts w:eastAsia="Times New Roman" w:cs="Times New Roman"/>
          <w:sz w:val="24"/>
          <w:szCs w:val="24"/>
        </w:rPr>
        <w:t xml:space="preserve"> 1</w:t>
      </w:r>
      <w:r w:rsidR="00D820F8">
        <w:rPr>
          <w:rFonts w:eastAsia="Times New Roman" w:cs="Times New Roman"/>
          <w:sz w:val="24"/>
          <w:szCs w:val="24"/>
        </w:rPr>
        <w:t>6</w:t>
      </w:r>
      <w:r w:rsidRPr="00B53758">
        <w:rPr>
          <w:rFonts w:eastAsia="Times New Roman" w:cs="Times New Roman"/>
          <w:sz w:val="24"/>
          <w:szCs w:val="24"/>
        </w:rPr>
        <w:t>, 201</w:t>
      </w:r>
      <w:r w:rsidR="00D820F8">
        <w:rPr>
          <w:rFonts w:eastAsia="Times New Roman" w:cs="Times New Roman"/>
          <w:sz w:val="24"/>
          <w:szCs w:val="24"/>
        </w:rPr>
        <w:t>2</w:t>
      </w:r>
      <w:r w:rsidRPr="00B53758">
        <w:rPr>
          <w:rFonts w:eastAsia="Times New Roman" w:cs="Times New Roman"/>
          <w:sz w:val="24"/>
          <w:szCs w:val="24"/>
        </w:rPr>
        <w:t xml:space="preserve"> were approved</w:t>
      </w:r>
      <w:r>
        <w:rPr>
          <w:rFonts w:eastAsia="Times New Roman" w:cs="Times New Roman"/>
          <w:sz w:val="24"/>
          <w:szCs w:val="24"/>
        </w:rPr>
        <w:t xml:space="preserve"> with changes</w:t>
      </w:r>
      <w:r w:rsidRPr="00B53758">
        <w:rPr>
          <w:rFonts w:eastAsia="Times New Roman" w:cs="Times New Roman"/>
          <w:sz w:val="24"/>
          <w:szCs w:val="24"/>
        </w:rPr>
        <w:t>.</w:t>
      </w:r>
    </w:p>
    <w:p w:rsidR="001054D9" w:rsidRPr="0005095B" w:rsidRDefault="00E44881">
      <w:pPr>
        <w:rPr>
          <w:b/>
        </w:rPr>
      </w:pPr>
      <w:r w:rsidRPr="0005095B">
        <w:rPr>
          <w:b/>
        </w:rPr>
        <w:t>MOBILE APPS</w:t>
      </w:r>
    </w:p>
    <w:p w:rsidR="0065034A" w:rsidRDefault="009A7342">
      <w:r>
        <w:t>Anthony provided a demo o</w:t>
      </w:r>
      <w:r w:rsidR="009367AB">
        <w:t>f</w:t>
      </w:r>
      <w:r>
        <w:t xml:space="preserve"> mobile app</w:t>
      </w:r>
      <w:r w:rsidR="009367AB">
        <w:t>lication</w:t>
      </w:r>
      <w:r>
        <w:t>s</w:t>
      </w:r>
      <w:r w:rsidR="009367AB">
        <w:t xml:space="preserve"> which are being made available District-wide</w:t>
      </w:r>
      <w:r>
        <w:t>.</w:t>
      </w:r>
      <w:r w:rsidR="009367AB">
        <w:t xml:space="preserve">  </w:t>
      </w:r>
      <w:r w:rsidR="00125EE3">
        <w:t>All applications will be accessible u</w:t>
      </w:r>
      <w:r w:rsidR="009367AB">
        <w:t>sing the iPHONE</w:t>
      </w:r>
      <w:r>
        <w:t xml:space="preserve"> and </w:t>
      </w:r>
      <w:r w:rsidR="009367AB">
        <w:t>ANDROID</w:t>
      </w:r>
      <w:r>
        <w:t xml:space="preserve"> phon</w:t>
      </w:r>
      <w:r w:rsidR="0065034A">
        <w:t>e</w:t>
      </w:r>
      <w:r w:rsidR="005859A5">
        <w:t>s</w:t>
      </w:r>
      <w:r w:rsidR="0065034A">
        <w:t xml:space="preserve">.  </w:t>
      </w:r>
      <w:r w:rsidR="005859A5">
        <w:t>An application ha</w:t>
      </w:r>
      <w:r w:rsidR="00836944">
        <w:t>s</w:t>
      </w:r>
      <w:r w:rsidR="005859A5">
        <w:t xml:space="preserve"> been designed for students and staff; but is</w:t>
      </w:r>
      <w:r w:rsidR="00125EE3">
        <w:t xml:space="preserve"> primarily </w:t>
      </w:r>
      <w:r>
        <w:t xml:space="preserve">created with students in mind. </w:t>
      </w:r>
      <w:r w:rsidR="00125EE3">
        <w:t xml:space="preserve"> Naming conventions for the applications</w:t>
      </w:r>
      <w:r w:rsidR="005859A5">
        <w:t>:</w:t>
      </w:r>
      <w:r>
        <w:t xml:space="preserve"> </w:t>
      </w:r>
      <w:r w:rsidR="005859A5">
        <w:t xml:space="preserve"> </w:t>
      </w:r>
      <w:r>
        <w:t xml:space="preserve">Mobile </w:t>
      </w:r>
      <w:r w:rsidR="005859A5">
        <w:t>plus</w:t>
      </w:r>
      <w:r>
        <w:t xml:space="preserve"> college name </w:t>
      </w:r>
      <w:r w:rsidR="00125EE3">
        <w:t>(such as, MobileCCC)</w:t>
      </w:r>
      <w:r>
        <w:t xml:space="preserve">. </w:t>
      </w:r>
      <w:r w:rsidR="00125EE3">
        <w:t xml:space="preserve">  This new tool is not for instructional use even though it has District-wide use.  </w:t>
      </w:r>
      <w:r w:rsidR="00591936">
        <w:t>S</w:t>
      </w:r>
      <w:r w:rsidR="00456902">
        <w:t>tudent</w:t>
      </w:r>
      <w:r w:rsidR="00591936">
        <w:t>s may</w:t>
      </w:r>
      <w:r w:rsidR="00456902">
        <w:t xml:space="preserve"> download </w:t>
      </w:r>
      <w:r w:rsidR="0065034A">
        <w:t xml:space="preserve">apps for </w:t>
      </w:r>
      <w:r w:rsidR="00591936">
        <w:t>a</w:t>
      </w:r>
      <w:r w:rsidR="00836944">
        <w:t>ll</w:t>
      </w:r>
      <w:r w:rsidR="0065034A">
        <w:t xml:space="preserve"> campus</w:t>
      </w:r>
      <w:r w:rsidR="00836944">
        <w:t>es</w:t>
      </w:r>
      <w:r w:rsidR="0065034A">
        <w:t>.</w:t>
      </w:r>
    </w:p>
    <w:p w:rsidR="00591936" w:rsidRDefault="00591936" w:rsidP="00591936">
      <w:r>
        <w:lastRenderedPageBreak/>
        <w:t>Th</w:t>
      </w:r>
      <w:r w:rsidR="004D1467">
        <w:t>e mobile application</w:t>
      </w:r>
      <w:r>
        <w:t xml:space="preserve"> tool m</w:t>
      </w:r>
      <w:r w:rsidR="0065034A">
        <w:t xml:space="preserve">ay be purchased from </w:t>
      </w:r>
      <w:r>
        <w:t xml:space="preserve">the </w:t>
      </w:r>
      <w:r w:rsidR="00020FE6">
        <w:t>MYCCC website</w:t>
      </w:r>
      <w:r>
        <w:t xml:space="preserve"> or</w:t>
      </w:r>
      <w:r w:rsidR="0065034A">
        <w:t xml:space="preserve"> </w:t>
      </w:r>
      <w:r>
        <w:t>A</w:t>
      </w:r>
      <w:r w:rsidR="0065034A">
        <w:t xml:space="preserve">pple </w:t>
      </w:r>
      <w:r>
        <w:t>S</w:t>
      </w:r>
      <w:r w:rsidR="0065034A">
        <w:t xml:space="preserve">tore,   </w:t>
      </w:r>
      <w:r>
        <w:t>- called</w:t>
      </w:r>
      <w:r w:rsidR="0065034A">
        <w:t xml:space="preserve"> </w:t>
      </w:r>
      <w:r>
        <w:t>M</w:t>
      </w:r>
      <w:r w:rsidR="0065034A">
        <w:t>obile</w:t>
      </w:r>
      <w:r>
        <w:t xml:space="preserve">CCC.  The following </w:t>
      </w:r>
      <w:r w:rsidR="00020FE6">
        <w:t>list of 8 mobile apps is</w:t>
      </w:r>
      <w:r w:rsidR="004D1467">
        <w:t xml:space="preserve"> available</w:t>
      </w:r>
      <w:r>
        <w:t xml:space="preserve"> in the software: </w:t>
      </w:r>
      <w:r w:rsidR="0065034A">
        <w:t>Maps</w:t>
      </w:r>
      <w:r>
        <w:t xml:space="preserve">, </w:t>
      </w:r>
      <w:r w:rsidR="0065034A">
        <w:t>Directo</w:t>
      </w:r>
      <w:r w:rsidR="006970E7">
        <w:t>r</w:t>
      </w:r>
      <w:r w:rsidR="0065034A">
        <w:t>y</w:t>
      </w:r>
      <w:r>
        <w:t xml:space="preserve">, </w:t>
      </w:r>
      <w:r w:rsidR="0065034A">
        <w:t>Class schedule</w:t>
      </w:r>
      <w:r>
        <w:t>, Mybill, Contacts, Emergency, Twitter, and Events.</w:t>
      </w:r>
    </w:p>
    <w:p w:rsidR="00E44881" w:rsidRPr="0005095B" w:rsidRDefault="00E44881">
      <w:pPr>
        <w:rPr>
          <w:b/>
        </w:rPr>
      </w:pPr>
      <w:r w:rsidRPr="0005095B">
        <w:rPr>
          <w:b/>
        </w:rPr>
        <w:t>FIBE</w:t>
      </w:r>
      <w:r w:rsidR="0005095B">
        <w:rPr>
          <w:b/>
        </w:rPr>
        <w:t>R</w:t>
      </w:r>
      <w:r w:rsidRPr="0005095B">
        <w:rPr>
          <w:b/>
        </w:rPr>
        <w:t xml:space="preserve"> CONNECTIONS</w:t>
      </w:r>
    </w:p>
    <w:p w:rsidR="002D0EA5" w:rsidRDefault="004D1467">
      <w:r>
        <w:t>There is a n</w:t>
      </w:r>
      <w:r w:rsidR="002D0EA5">
        <w:t xml:space="preserve">eed </w:t>
      </w:r>
      <w:r>
        <w:t xml:space="preserve">for </w:t>
      </w:r>
      <w:r w:rsidR="002D0EA5">
        <w:t xml:space="preserve">fiber connectivity </w:t>
      </w:r>
      <w:r w:rsidR="007F0B65">
        <w:t>between CCC</w:t>
      </w:r>
      <w:r>
        <w:t xml:space="preserve"> </w:t>
      </w:r>
      <w:r w:rsidR="002D0EA5">
        <w:t xml:space="preserve">buildings </w:t>
      </w:r>
      <w:r>
        <w:t>to make connectivity flow</w:t>
      </w:r>
      <w:r w:rsidR="002D0EA5">
        <w:t xml:space="preserve"> at a faster rate.  Plan</w:t>
      </w:r>
      <w:r>
        <w:t>s are in place</w:t>
      </w:r>
      <w:r w:rsidR="002D0EA5">
        <w:t xml:space="preserve"> to connect the college center and the new building to a fiber backbone.  Cost for </w:t>
      </w:r>
      <w:r>
        <w:t xml:space="preserve">the fiber connectivity </w:t>
      </w:r>
      <w:r w:rsidR="002D0EA5">
        <w:t xml:space="preserve">is </w:t>
      </w:r>
      <w:r>
        <w:t>$</w:t>
      </w:r>
      <w:r w:rsidR="002D0EA5">
        <w:t>35,000</w:t>
      </w:r>
      <w:r>
        <w:t>.</w:t>
      </w:r>
      <w:r w:rsidR="002D0EA5">
        <w:t xml:space="preserve"> </w:t>
      </w:r>
    </w:p>
    <w:p w:rsidR="007C34D5" w:rsidRDefault="004D1467">
      <w:r>
        <w:t>The</w:t>
      </w:r>
      <w:r w:rsidR="000F13EE">
        <w:t xml:space="preserve"> committee </w:t>
      </w:r>
      <w:r>
        <w:t xml:space="preserve">was then asked </w:t>
      </w:r>
      <w:r w:rsidR="000F13EE">
        <w:t>what they thought of purchasing this fiber backbone.</w:t>
      </w:r>
      <w:r>
        <w:t xml:space="preserve">  A major benefit of </w:t>
      </w:r>
      <w:r w:rsidR="007F0B65">
        <w:t>this fiber</w:t>
      </w:r>
      <w:r>
        <w:t xml:space="preserve"> connectivity is </w:t>
      </w:r>
      <w:r w:rsidR="007F0B65">
        <w:t>to make</w:t>
      </w:r>
      <w:r>
        <w:t xml:space="preserve"> sure we by</w:t>
      </w:r>
      <w:r w:rsidR="000F13EE">
        <w:t xml:space="preserve">pass congestion on computer pathways.  Flow of information will be faster.  Without proper </w:t>
      </w:r>
      <w:r w:rsidR="007F0B65">
        <w:t>Bandwidth</w:t>
      </w:r>
      <w:r w:rsidR="000F13EE">
        <w:t xml:space="preserve"> we couldn’t run </w:t>
      </w:r>
      <w:r w:rsidR="007F0B65">
        <w:t>many</w:t>
      </w:r>
      <w:r w:rsidR="000F13EE">
        <w:t xml:space="preserve"> of </w:t>
      </w:r>
      <w:r w:rsidR="007F0B65">
        <w:t xml:space="preserve">our </w:t>
      </w:r>
      <w:r w:rsidR="000F13EE">
        <w:t>systems.  If app</w:t>
      </w:r>
      <w:r w:rsidR="007F0B65">
        <w:t>r</w:t>
      </w:r>
      <w:r w:rsidR="000F13EE">
        <w:t xml:space="preserve">oved the install would take place before summer.   </w:t>
      </w:r>
      <w:r w:rsidR="007F0B65">
        <w:t xml:space="preserve">A vote was taken and the outcome of the vote was:  </w:t>
      </w:r>
      <w:r w:rsidR="007C34D5">
        <w:t xml:space="preserve">Yes: </w:t>
      </w:r>
      <w:r w:rsidR="001A5611">
        <w:t>10</w:t>
      </w:r>
      <w:r w:rsidR="007F0B65">
        <w:t xml:space="preserve"> and </w:t>
      </w:r>
      <w:r w:rsidR="007C34D5">
        <w:t>N</w:t>
      </w:r>
      <w:r w:rsidR="0085649E">
        <w:t>ay</w:t>
      </w:r>
      <w:r w:rsidR="007C34D5">
        <w:t>:</w:t>
      </w:r>
      <w:r w:rsidR="001A5611">
        <w:t xml:space="preserve"> 0</w:t>
      </w:r>
    </w:p>
    <w:p w:rsidR="000C7A3A" w:rsidRDefault="001A5611">
      <w:r>
        <w:t>This same fiber will have to be installed at our other sites as well</w:t>
      </w:r>
      <w:r w:rsidR="007F0B65">
        <w:t xml:space="preserve"> at some point</w:t>
      </w:r>
      <w:r>
        <w:t>.</w:t>
      </w:r>
      <w:r w:rsidR="007F0B65">
        <w:t xml:space="preserve">  </w:t>
      </w:r>
      <w:r w:rsidR="00020FE6">
        <w:t xml:space="preserve">The Coastline Network switches are 5 years over their warranty – cost for new switches are approx. College Center and ISD $120,000; Le Jao Center:  $51,000; One stop Irvine:  $8,000; Newport:  $200,000 and One stop Westminster:  $28,000.  </w:t>
      </w:r>
      <w:r w:rsidR="007F0B65">
        <w:t xml:space="preserve">A vote was taken </w:t>
      </w:r>
      <w:r w:rsidR="00191AEF">
        <w:t xml:space="preserve">to recommend </w:t>
      </w:r>
      <w:r w:rsidR="007F0B65">
        <w:t>the</w:t>
      </w:r>
      <w:r w:rsidR="00191AEF">
        <w:t xml:space="preserve"> </w:t>
      </w:r>
      <w:r w:rsidR="007F0B65">
        <w:t>p</w:t>
      </w:r>
      <w:r w:rsidR="00191AEF">
        <w:t>urchas</w:t>
      </w:r>
      <w:r w:rsidR="007F0B65">
        <w:t>e</w:t>
      </w:r>
      <w:r w:rsidR="00191AEF">
        <w:t xml:space="preserve"> of new switches. </w:t>
      </w:r>
      <w:r w:rsidR="007F0B65">
        <w:t xml:space="preserve"> The outcome of the v</w:t>
      </w:r>
      <w:r w:rsidR="00191AEF">
        <w:t xml:space="preserve">ote was </w:t>
      </w:r>
      <w:r w:rsidR="007F0B65">
        <w:t xml:space="preserve">YES: </w:t>
      </w:r>
      <w:r w:rsidR="00191AEF">
        <w:t xml:space="preserve">10 and </w:t>
      </w:r>
      <w:r w:rsidR="007F0B65">
        <w:t>NAY: 0</w:t>
      </w:r>
    </w:p>
    <w:p w:rsidR="00E44881" w:rsidRPr="0005095B" w:rsidRDefault="00E44881">
      <w:pPr>
        <w:rPr>
          <w:b/>
        </w:rPr>
      </w:pPr>
      <w:r w:rsidRPr="0005095B">
        <w:rPr>
          <w:b/>
        </w:rPr>
        <w:t>U</w:t>
      </w:r>
      <w:r w:rsidR="001A5611" w:rsidRPr="0005095B">
        <w:rPr>
          <w:b/>
        </w:rPr>
        <w:t>PDATE ON DATA CENTER RELOCATIO</w:t>
      </w:r>
      <w:r w:rsidRPr="0005095B">
        <w:rPr>
          <w:b/>
        </w:rPr>
        <w:t>N</w:t>
      </w:r>
    </w:p>
    <w:p w:rsidR="00744C36" w:rsidRDefault="007F0B65">
      <w:r>
        <w:t>Our Technology staff</w:t>
      </w:r>
      <w:r w:rsidR="0085649E">
        <w:t xml:space="preserve"> has completed a walk through </w:t>
      </w:r>
      <w:r>
        <w:t xml:space="preserve">the District Data Center building </w:t>
      </w:r>
      <w:r w:rsidR="0085649E">
        <w:t xml:space="preserve">with </w:t>
      </w:r>
      <w:r>
        <w:t>T</w:t>
      </w:r>
      <w:r w:rsidR="0085649E">
        <w:t xml:space="preserve">ime </w:t>
      </w:r>
      <w:r>
        <w:t>W</w:t>
      </w:r>
      <w:r w:rsidR="0085649E">
        <w:t>arner and the</w:t>
      </w:r>
      <w:r>
        <w:t xml:space="preserve"> price of necessary</w:t>
      </w:r>
      <w:r w:rsidR="0085649E">
        <w:t xml:space="preserve"> racks </w:t>
      </w:r>
      <w:r>
        <w:t>will be $</w:t>
      </w:r>
      <w:r w:rsidR="0085649E">
        <w:t>35,000</w:t>
      </w:r>
      <w:r>
        <w:t xml:space="preserve">. </w:t>
      </w:r>
      <w:r w:rsidR="0085649E">
        <w:t xml:space="preserve">The move to </w:t>
      </w:r>
      <w:r>
        <w:t>the D</w:t>
      </w:r>
      <w:r w:rsidR="0085649E">
        <w:t xml:space="preserve">istrict </w:t>
      </w:r>
      <w:r>
        <w:t>D</w:t>
      </w:r>
      <w:r w:rsidR="0085649E">
        <w:t xml:space="preserve">ata </w:t>
      </w:r>
      <w:r>
        <w:t>C</w:t>
      </w:r>
      <w:r w:rsidR="0085649E">
        <w:t xml:space="preserve">enter should take place by </w:t>
      </w:r>
      <w:r w:rsidR="00020FE6">
        <w:t>summer 2012</w:t>
      </w:r>
      <w:r>
        <w:t>.</w:t>
      </w:r>
    </w:p>
    <w:p w:rsidR="00E44881" w:rsidRPr="0005095B" w:rsidRDefault="00E44881">
      <w:pPr>
        <w:rPr>
          <w:b/>
        </w:rPr>
      </w:pPr>
      <w:r w:rsidRPr="0005095B">
        <w:rPr>
          <w:b/>
        </w:rPr>
        <w:t>MS OFFICE</w:t>
      </w:r>
      <w:r w:rsidR="00225066" w:rsidRPr="0005095B">
        <w:rPr>
          <w:b/>
        </w:rPr>
        <w:t xml:space="preserve">   2010 </w:t>
      </w:r>
    </w:p>
    <w:p w:rsidR="0085649E" w:rsidRDefault="0085649E">
      <w:r>
        <w:t xml:space="preserve">Installation could happen within weeks but a </w:t>
      </w:r>
      <w:r w:rsidR="00062FC4">
        <w:t xml:space="preserve">major </w:t>
      </w:r>
      <w:r>
        <w:t>concern</w:t>
      </w:r>
      <w:r w:rsidR="00062FC4">
        <w:t xml:space="preserve"> is staff</w:t>
      </w:r>
      <w:r>
        <w:t xml:space="preserve"> training</w:t>
      </w:r>
      <w:r w:rsidR="00225066">
        <w:t>.  Faculty laptops wou</w:t>
      </w:r>
      <w:r w:rsidR="00062FC4">
        <w:t>l</w:t>
      </w:r>
      <w:r w:rsidR="00225066">
        <w:t xml:space="preserve">d need to be reinstalled. </w:t>
      </w:r>
      <w:r w:rsidR="00062FC4">
        <w:t xml:space="preserve"> </w:t>
      </w:r>
      <w:r w:rsidR="00225066">
        <w:t xml:space="preserve">Committee </w:t>
      </w:r>
      <w:r w:rsidR="00062FC4">
        <w:t>discussed</w:t>
      </w:r>
      <w:r w:rsidR="00225066">
        <w:t xml:space="preserve"> how to go about this migration</w:t>
      </w:r>
      <w:r w:rsidR="00062FC4">
        <w:t xml:space="preserve"> to MS Office 2010</w:t>
      </w:r>
      <w:r w:rsidR="00225066">
        <w:t xml:space="preserve">.  </w:t>
      </w:r>
      <w:r w:rsidR="00062FC4">
        <w:t>One suggestion was to allow staff to</w:t>
      </w:r>
      <w:r w:rsidR="00225066">
        <w:t xml:space="preserve"> sign up for the training at the </w:t>
      </w:r>
      <w:r w:rsidR="00062FC4">
        <w:t>S</w:t>
      </w:r>
      <w:r w:rsidR="00225066">
        <w:t xml:space="preserve">ummer </w:t>
      </w:r>
      <w:r w:rsidR="00062FC4">
        <w:t>I</w:t>
      </w:r>
      <w:r w:rsidR="00225066">
        <w:t>nstitute.  New OWA training should come first and then office 2010.</w:t>
      </w:r>
      <w:r w:rsidR="00AC47B8">
        <w:t xml:space="preserve">  Ma</w:t>
      </w:r>
      <w:r w:rsidR="00062FC4">
        <w:t>r</w:t>
      </w:r>
      <w:r w:rsidR="00AC47B8">
        <w:t>k and Sylvia will come up with a plan for the migration to the new software.</w:t>
      </w:r>
    </w:p>
    <w:p w:rsidR="00E44881" w:rsidRPr="0005095B" w:rsidRDefault="00E44881">
      <w:pPr>
        <w:rPr>
          <w:b/>
        </w:rPr>
      </w:pPr>
      <w:r w:rsidRPr="0005095B">
        <w:rPr>
          <w:b/>
        </w:rPr>
        <w:t>MIG</w:t>
      </w:r>
      <w:r w:rsidR="00062FC4">
        <w:rPr>
          <w:b/>
        </w:rPr>
        <w:t>R</w:t>
      </w:r>
      <w:r w:rsidRPr="0005095B">
        <w:rPr>
          <w:b/>
        </w:rPr>
        <w:t>ATION TO EXCHANGE 2010</w:t>
      </w:r>
    </w:p>
    <w:p w:rsidR="00E44881" w:rsidRDefault="00A33955">
      <w:r>
        <w:t>Authentication in the next couple of weeks</w:t>
      </w:r>
      <w:r w:rsidR="00DA1CD4">
        <w:t xml:space="preserve"> will be completed</w:t>
      </w:r>
      <w:r>
        <w:t>.  The new interface will be a positive change.</w:t>
      </w:r>
      <w:r w:rsidR="00DA1CD4">
        <w:t xml:space="preserve"> </w:t>
      </w:r>
      <w:r>
        <w:t xml:space="preserve">There will be a new screen and then the mailbox will be migrated over.  The email limit will provide double the space that we now have.  </w:t>
      </w:r>
      <w:r w:rsidR="00DA1CD4">
        <w:t>There will be a m</w:t>
      </w:r>
      <w:r w:rsidR="00B17C8D">
        <w:t>essage</w:t>
      </w:r>
      <w:r w:rsidR="00DA1CD4">
        <w:t xml:space="preserve"> sent </w:t>
      </w:r>
      <w:r w:rsidR="00020FE6">
        <w:t>out on</w:t>
      </w:r>
      <w:r w:rsidR="00B17C8D">
        <w:t xml:space="preserve"> Tuesday and then by March 25</w:t>
      </w:r>
      <w:r w:rsidR="00B17C8D" w:rsidRPr="00B17C8D">
        <w:rPr>
          <w:vertAlign w:val="superscript"/>
        </w:rPr>
        <w:t>th</w:t>
      </w:r>
      <w:r w:rsidR="00B17C8D">
        <w:t xml:space="preserve"> </w:t>
      </w:r>
      <w:r w:rsidR="00DA1CD4">
        <w:t>the migrations will begin</w:t>
      </w:r>
      <w:r w:rsidR="00B17C8D">
        <w:t>.</w:t>
      </w:r>
    </w:p>
    <w:p w:rsidR="00DA1CD4" w:rsidRDefault="00DA1CD4">
      <w:pPr>
        <w:rPr>
          <w:b/>
        </w:rPr>
      </w:pPr>
    </w:p>
    <w:p w:rsidR="00DA1CD4" w:rsidRDefault="00DA1CD4">
      <w:pPr>
        <w:rPr>
          <w:b/>
        </w:rPr>
      </w:pPr>
    </w:p>
    <w:p w:rsidR="00E44881" w:rsidRPr="0005095B" w:rsidRDefault="00E44881">
      <w:pPr>
        <w:rPr>
          <w:b/>
        </w:rPr>
      </w:pPr>
      <w:r w:rsidRPr="0005095B">
        <w:rPr>
          <w:b/>
        </w:rPr>
        <w:lastRenderedPageBreak/>
        <w:t>ISD AND C</w:t>
      </w:r>
      <w:r w:rsidR="00DA1CD4">
        <w:rPr>
          <w:b/>
        </w:rPr>
        <w:t xml:space="preserve">OMPUTER </w:t>
      </w:r>
      <w:r w:rsidRPr="0005095B">
        <w:rPr>
          <w:b/>
        </w:rPr>
        <w:t>S</w:t>
      </w:r>
      <w:r w:rsidR="00DA1CD4">
        <w:rPr>
          <w:b/>
        </w:rPr>
        <w:t>ERVICES</w:t>
      </w:r>
      <w:r w:rsidRPr="0005095B">
        <w:rPr>
          <w:b/>
        </w:rPr>
        <w:t xml:space="preserve"> MERGER</w:t>
      </w:r>
    </w:p>
    <w:p w:rsidR="00D05115" w:rsidRDefault="00DA1CD4">
      <w:r>
        <w:t xml:space="preserve">The </w:t>
      </w:r>
      <w:r w:rsidR="0031618F">
        <w:t xml:space="preserve">Office of </w:t>
      </w:r>
      <w:r>
        <w:t>L</w:t>
      </w:r>
      <w:r w:rsidR="0031618F">
        <w:t xml:space="preserve">earning and </w:t>
      </w:r>
      <w:r>
        <w:t>I</w:t>
      </w:r>
      <w:r w:rsidR="0031618F">
        <w:t xml:space="preserve">nformation </w:t>
      </w:r>
      <w:r>
        <w:t>T</w:t>
      </w:r>
      <w:r w:rsidR="0031618F">
        <w:t>echnology</w:t>
      </w:r>
      <w:r w:rsidR="00D05115">
        <w:t xml:space="preserve"> is the new department name.</w:t>
      </w:r>
      <w:r>
        <w:t xml:space="preserve"> Both departments </w:t>
      </w:r>
      <w:r w:rsidR="00D05115">
        <w:t>will be housed in new building</w:t>
      </w:r>
      <w:r>
        <w:t xml:space="preserve"> next door to the College Center</w:t>
      </w:r>
      <w:r w:rsidR="00D05115">
        <w:t>.</w:t>
      </w:r>
    </w:p>
    <w:p w:rsidR="00E44881" w:rsidRPr="0005095B" w:rsidRDefault="00E44881">
      <w:pPr>
        <w:rPr>
          <w:b/>
        </w:rPr>
      </w:pPr>
      <w:r w:rsidRPr="0005095B">
        <w:rPr>
          <w:b/>
        </w:rPr>
        <w:t>ACCREDITATION STANDA</w:t>
      </w:r>
      <w:r w:rsidR="00AF3FBC">
        <w:rPr>
          <w:b/>
        </w:rPr>
        <w:t>R</w:t>
      </w:r>
      <w:r w:rsidRPr="0005095B">
        <w:rPr>
          <w:b/>
        </w:rPr>
        <w:t>D IIIC – TECH RESOU</w:t>
      </w:r>
      <w:r w:rsidR="00AF3FBC">
        <w:rPr>
          <w:b/>
        </w:rPr>
        <w:t>R</w:t>
      </w:r>
      <w:r w:rsidRPr="0005095B">
        <w:rPr>
          <w:b/>
        </w:rPr>
        <w:t>CES</w:t>
      </w:r>
    </w:p>
    <w:p w:rsidR="00D05115" w:rsidRDefault="001503F6">
      <w:r>
        <w:t>The committee was asked to</w:t>
      </w:r>
      <w:r w:rsidR="00D05115">
        <w:t xml:space="preserve"> re</w:t>
      </w:r>
      <w:r>
        <w:t>view</w:t>
      </w:r>
      <w:r w:rsidR="00D05115">
        <w:t xml:space="preserve"> th</w:t>
      </w:r>
      <w:r>
        <w:t xml:space="preserve">e </w:t>
      </w:r>
      <w:r w:rsidRPr="001503F6">
        <w:t>Accreditation Standa</w:t>
      </w:r>
      <w:r>
        <w:t>r</w:t>
      </w:r>
      <w:r w:rsidRPr="001503F6">
        <w:t xml:space="preserve">d </w:t>
      </w:r>
      <w:r>
        <w:t>IIIC</w:t>
      </w:r>
      <w:r w:rsidRPr="001503F6">
        <w:t xml:space="preserve"> – Tech Resou</w:t>
      </w:r>
      <w:r>
        <w:t>r</w:t>
      </w:r>
      <w:r w:rsidRPr="001503F6">
        <w:t>ces</w:t>
      </w:r>
      <w:r>
        <w:t xml:space="preserve"> link; the standard has been changed from the last writing.</w:t>
      </w:r>
      <w:r w:rsidR="00D05115">
        <w:t xml:space="preserve"> </w:t>
      </w:r>
      <w:r>
        <w:t xml:space="preserve"> </w:t>
      </w:r>
      <w:r w:rsidR="00D05115">
        <w:t xml:space="preserve">Anthony will resend the link to the committee.  </w:t>
      </w:r>
    </w:p>
    <w:p w:rsidR="00E44881" w:rsidRDefault="00E44881"/>
    <w:sectPr w:rsidR="00E44881" w:rsidSect="0035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D9"/>
    <w:rsid w:val="00020FE6"/>
    <w:rsid w:val="0005095B"/>
    <w:rsid w:val="00062FC4"/>
    <w:rsid w:val="00070607"/>
    <w:rsid w:val="000C7A3A"/>
    <w:rsid w:val="000F13EE"/>
    <w:rsid w:val="001054D9"/>
    <w:rsid w:val="00125EE3"/>
    <w:rsid w:val="001503F6"/>
    <w:rsid w:val="0016278D"/>
    <w:rsid w:val="00191AEF"/>
    <w:rsid w:val="001A5611"/>
    <w:rsid w:val="00225066"/>
    <w:rsid w:val="00230C31"/>
    <w:rsid w:val="002D0EA5"/>
    <w:rsid w:val="0031618F"/>
    <w:rsid w:val="0035586B"/>
    <w:rsid w:val="004100B5"/>
    <w:rsid w:val="00425CFE"/>
    <w:rsid w:val="00437501"/>
    <w:rsid w:val="00456902"/>
    <w:rsid w:val="00487F05"/>
    <w:rsid w:val="004D1467"/>
    <w:rsid w:val="00570E1F"/>
    <w:rsid w:val="005859A5"/>
    <w:rsid w:val="00591936"/>
    <w:rsid w:val="0065034A"/>
    <w:rsid w:val="0069557D"/>
    <w:rsid w:val="006970E7"/>
    <w:rsid w:val="0072252B"/>
    <w:rsid w:val="00744C36"/>
    <w:rsid w:val="007C34D5"/>
    <w:rsid w:val="007F0B65"/>
    <w:rsid w:val="00836944"/>
    <w:rsid w:val="0085649E"/>
    <w:rsid w:val="008A36B7"/>
    <w:rsid w:val="00932E06"/>
    <w:rsid w:val="009367AB"/>
    <w:rsid w:val="009926F4"/>
    <w:rsid w:val="009A7342"/>
    <w:rsid w:val="00A33955"/>
    <w:rsid w:val="00AC47B8"/>
    <w:rsid w:val="00AF3FBC"/>
    <w:rsid w:val="00B17C8D"/>
    <w:rsid w:val="00B765A9"/>
    <w:rsid w:val="00D05115"/>
    <w:rsid w:val="00D450B9"/>
    <w:rsid w:val="00D820F8"/>
    <w:rsid w:val="00DA1CD4"/>
    <w:rsid w:val="00DC6E11"/>
    <w:rsid w:val="00E31BEE"/>
    <w:rsid w:val="00E44881"/>
    <w:rsid w:val="00E4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MCLUCAS</dc:creator>
  <cp:lastModifiedBy>Gayle Berggren</cp:lastModifiedBy>
  <cp:revision>2</cp:revision>
  <cp:lastPrinted>2012-05-17T20:38:00Z</cp:lastPrinted>
  <dcterms:created xsi:type="dcterms:W3CDTF">2012-07-25T20:50:00Z</dcterms:created>
  <dcterms:modified xsi:type="dcterms:W3CDTF">2012-07-25T20:50:00Z</dcterms:modified>
</cp:coreProperties>
</file>